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303C0C">
      <w:pPr>
        <w:jc w:val="center"/>
        <w:rPr>
          <w:rFonts w:ascii="Times New Roman" w:hAnsi="Times New Roman"/>
          <w:bCs/>
          <w:sz w:val="20"/>
          <w:szCs w:val="20"/>
        </w:rPr>
      </w:pPr>
      <w:r w:rsidRPr="00C03E22">
        <w:rPr>
          <w:rFonts w:ascii="Times New Roman" w:hAnsi="Times New Roman"/>
          <w:b/>
          <w:bCs/>
          <w:sz w:val="20"/>
          <w:szCs w:val="20"/>
          <w:lang w:val="sr-Cyrl-CS"/>
        </w:rPr>
        <w:t>Табела 5.2.</w:t>
      </w:r>
      <w:r w:rsidRPr="00C03E22">
        <w:rPr>
          <w:rFonts w:ascii="Times New Roman" w:hAnsi="Times New Roman"/>
          <w:bCs/>
          <w:sz w:val="20"/>
          <w:szCs w:val="20"/>
          <w:lang w:val="sr-Cyrl-CS"/>
        </w:rPr>
        <w:t xml:space="preserve"> Спецификација предмета </w:t>
      </w:r>
    </w:p>
    <w:p w:rsidR="00303C0C" w:rsidRPr="00303C0C" w:rsidRDefault="00303C0C" w:rsidP="00303C0C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1941"/>
        <w:gridCol w:w="1159"/>
        <w:gridCol w:w="2020"/>
        <w:gridCol w:w="1237"/>
      </w:tblGrid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0D57DC" w:rsidRDefault="002A3E5D" w:rsidP="000D57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0D57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0D57DC" w:rsidRPr="00303C0C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6D124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Управљање пословним процесима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0D57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3F5836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3F5836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6D124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D57DC" w:rsidRPr="000D57D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др </w:t>
            </w:r>
            <w:r w:rsidR="006D124B" w:rsidRPr="000D57D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Марија Радосављевић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6D124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D124B" w:rsidRPr="000D57D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  <w:r w:rsidR="000D57D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предмет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D257D0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D124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D57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2A3E5D" w:rsidRPr="003F5836" w:rsidTr="00C03E22">
        <w:trPr>
          <w:trHeight w:val="206"/>
          <w:jc w:val="center"/>
        </w:trPr>
        <w:tc>
          <w:tcPr>
            <w:tcW w:w="9468" w:type="dxa"/>
            <w:gridSpan w:val="5"/>
            <w:vAlign w:val="center"/>
          </w:tcPr>
          <w:p w:rsidR="002A3E5D" w:rsidRPr="00087912" w:rsidRDefault="00312834" w:rsidP="00C03E2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3F5836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2A3E5D" w:rsidRPr="003F5836" w:rsidRDefault="003F5836" w:rsidP="00C15A3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Управљање пословним процесима представља дисциплину новијег датума, намењену менаџерима који ће усмеравати пословање предузећа у динамичном окружењу. Циљ предмета је указивање на значај процесне оријентације, стицање знања из управљања пословним процесима, проучавање метода и техника управљања пословним процесима, оспособљавање студената за примену стечених знања кроз апликације и решавање конкретних проблема у привредној пракси.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9E7C22" w:rsidRDefault="009E7C22" w:rsidP="004E13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  <w:t>С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туденти ће бити у могућности 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  <w:t>:</w:t>
            </w:r>
          </w:p>
          <w:p w:rsidR="009E7C22" w:rsidRPr="009E7C22" w:rsidRDefault="009E7C22" w:rsidP="00A91CF6">
            <w:pPr>
              <w:pStyle w:val="ListParagraph"/>
              <w:numPr>
                <w:ilvl w:val="0"/>
                <w:numId w:val="4"/>
              </w:numPr>
              <w:tabs>
                <w:tab w:val="left" w:pos="251"/>
              </w:tabs>
              <w:spacing w:after="60"/>
              <w:ind w:left="250" w:hanging="284"/>
              <w:jc w:val="both"/>
              <w:rPr>
                <w:lang w:eastAsia="sr-Cyrl-CS"/>
              </w:rPr>
            </w:pPr>
            <w:r w:rsidRPr="003F5836">
              <w:rPr>
                <w:lang w:val="sr-Cyrl-CS" w:eastAsia="sr-Cyrl-CS"/>
              </w:rPr>
              <w:t>идентификују кључне пословне процесе, везе између њих, као и да посматрају пословне процесе као спону између организационих јединица</w:t>
            </w:r>
            <w:r>
              <w:rPr>
                <w:lang w:val="sr-Cyrl-CS" w:eastAsia="sr-Cyrl-CS"/>
              </w:rPr>
              <w:t xml:space="preserve"> на основу р</w:t>
            </w:r>
            <w:r w:rsidRPr="00AB6D39">
              <w:rPr>
                <w:lang w:val="sr-Cyrl-CS" w:eastAsia="sr-Cyrl-CS"/>
              </w:rPr>
              <w:t>азумевање принципа</w:t>
            </w:r>
            <w:r w:rsidRPr="003F5836">
              <w:rPr>
                <w:lang w:val="sr-Cyrl-CS" w:eastAsia="sr-Cyrl-CS"/>
              </w:rPr>
              <w:t xml:space="preserve"> и елемената пословних процеса</w:t>
            </w:r>
            <w:r>
              <w:rPr>
                <w:lang w:val="sr-Cyrl-CS" w:eastAsia="sr-Cyrl-CS"/>
              </w:rPr>
              <w:t>;</w:t>
            </w:r>
            <w:r w:rsidRPr="003F5836">
              <w:rPr>
                <w:lang w:val="sr-Cyrl-CS" w:eastAsia="sr-Cyrl-CS"/>
              </w:rPr>
              <w:t xml:space="preserve"> </w:t>
            </w:r>
          </w:p>
          <w:p w:rsidR="009E7C22" w:rsidRPr="009E7C22" w:rsidRDefault="009E7C22" w:rsidP="00A91CF6">
            <w:pPr>
              <w:pStyle w:val="ListParagraph"/>
              <w:numPr>
                <w:ilvl w:val="0"/>
                <w:numId w:val="4"/>
              </w:numPr>
              <w:tabs>
                <w:tab w:val="left" w:pos="251"/>
              </w:tabs>
              <w:spacing w:after="60"/>
              <w:ind w:left="250" w:hanging="284"/>
              <w:jc w:val="both"/>
              <w:rPr>
                <w:lang w:eastAsia="sr-Cyrl-CS"/>
              </w:rPr>
            </w:pPr>
            <w:r w:rsidRPr="003F5836">
              <w:rPr>
                <w:lang w:val="sr-Cyrl-CS" w:eastAsia="sr-Cyrl-CS"/>
              </w:rPr>
              <w:t>идентификују узроке проблема, неусклађености и неефикасности пословних процеса, путем метода посматрања, прикупљања и анализе података</w:t>
            </w:r>
            <w:r>
              <w:rPr>
                <w:lang w:val="sr-Cyrl-CS" w:eastAsia="sr-Cyrl-CS"/>
              </w:rPr>
              <w:t>;</w:t>
            </w:r>
          </w:p>
          <w:p w:rsidR="009E7C22" w:rsidRPr="009E7C22" w:rsidRDefault="009E7C22" w:rsidP="00A91CF6">
            <w:pPr>
              <w:pStyle w:val="ListParagraph"/>
              <w:numPr>
                <w:ilvl w:val="0"/>
                <w:numId w:val="4"/>
              </w:numPr>
              <w:tabs>
                <w:tab w:val="left" w:pos="251"/>
              </w:tabs>
              <w:spacing w:after="60"/>
              <w:ind w:left="250" w:hanging="284"/>
              <w:jc w:val="both"/>
              <w:rPr>
                <w:lang w:eastAsia="sr-Cyrl-CS"/>
              </w:rPr>
            </w:pPr>
            <w:r>
              <w:rPr>
                <w:lang w:val="sl-SI" w:eastAsia="sr-Cyrl-CS"/>
              </w:rPr>
              <w:t>кори</w:t>
            </w:r>
            <w:r>
              <w:rPr>
                <w:lang w:eastAsia="sr-Cyrl-CS"/>
              </w:rPr>
              <w:t>сте</w:t>
            </w:r>
            <w:r>
              <w:rPr>
                <w:lang w:val="sl-SI" w:eastAsia="sr-Cyrl-CS"/>
              </w:rPr>
              <w:t xml:space="preserve"> </w:t>
            </w:r>
            <w:r w:rsidRPr="003F5836">
              <w:rPr>
                <w:lang w:val="sr-Cyrl-CS" w:eastAsia="sr-Cyrl-CS"/>
              </w:rPr>
              <w:t xml:space="preserve">алата за анализу и оптимизацију пословних процеса, као и </w:t>
            </w:r>
            <w:r>
              <w:rPr>
                <w:lang w:val="sr-Cyrl-CS" w:eastAsia="sr-Cyrl-CS"/>
              </w:rPr>
              <w:t xml:space="preserve">за </w:t>
            </w:r>
            <w:r w:rsidRPr="003F5836">
              <w:rPr>
                <w:lang w:val="sr-Cyrl-CS" w:eastAsia="sr-Cyrl-CS"/>
              </w:rPr>
              <w:t>примен</w:t>
            </w:r>
            <w:r>
              <w:rPr>
                <w:lang w:val="sr-Cyrl-CS" w:eastAsia="sr-Cyrl-CS"/>
              </w:rPr>
              <w:t>у савремених</w:t>
            </w:r>
            <w:r w:rsidRPr="003F5836">
              <w:rPr>
                <w:lang w:val="sr-Cyrl-CS" w:eastAsia="sr-Cyrl-CS"/>
              </w:rPr>
              <w:t xml:space="preserve"> апликација за управљање пословним процесима (SAP</w:t>
            </w:r>
            <w:r>
              <w:rPr>
                <w:lang w:val="sr-Cyrl-CS" w:eastAsia="sr-Cyrl-CS"/>
              </w:rPr>
              <w:t>, Balance);</w:t>
            </w:r>
          </w:p>
          <w:p w:rsidR="002A3E5D" w:rsidRPr="009E7C22" w:rsidRDefault="009E7C22" w:rsidP="00A91CF6">
            <w:pPr>
              <w:pStyle w:val="ListParagraph"/>
              <w:numPr>
                <w:ilvl w:val="0"/>
                <w:numId w:val="4"/>
              </w:numPr>
              <w:tabs>
                <w:tab w:val="left" w:pos="251"/>
              </w:tabs>
              <w:spacing w:after="60"/>
              <w:ind w:left="251" w:hanging="284"/>
              <w:jc w:val="both"/>
              <w:rPr>
                <w:lang w:eastAsia="sr-Cyrl-CS"/>
              </w:rPr>
            </w:pPr>
            <w:r>
              <w:rPr>
                <w:lang w:val="sr-Cyrl-CS" w:eastAsia="sr-Cyrl-CS"/>
              </w:rPr>
              <w:t>примене савремене моделе и методе за повећање ефикасности пословних процеса.</w:t>
            </w:r>
            <w:r w:rsidR="004E131D" w:rsidRPr="009E7C22">
              <w:rPr>
                <w:lang w:val="sr-Cyrl-CS" w:eastAsia="sr-Cyrl-CS"/>
              </w:rPr>
              <w:t xml:space="preserve"> 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3F5836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</w:pPr>
            <w:r w:rsidRPr="003F583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2A3E5D" w:rsidRPr="003F5836" w:rsidRDefault="003F5836" w:rsidP="00C15A3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Концепт 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процесне оријентације, 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eastAsia="sr-Cyrl-CS"/>
              </w:rPr>
              <w:t>К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арактеристике пословних процеса, Елементи и принципи управљања пословним процесима, Фазе управљања пословним процесима, Структурирање пословних процеса, Социјалне мреже као услов функционисања пословних процеса,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Примена савремених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апликација за управљање процесима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</w:t>
            </w:r>
            <w:r w:rsidR="00AB6D39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(SAP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, Balance</w:t>
            </w:r>
            <w:r w:rsidR="00AB6D39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)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, Модел зрелости управљања пословним процесима.</w:t>
            </w:r>
          </w:p>
          <w:p w:rsidR="002A3E5D" w:rsidRPr="003F5836" w:rsidRDefault="002A3E5D" w:rsidP="00C15A3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2A3E5D" w:rsidRPr="003F5836" w:rsidRDefault="003F5836" w:rsidP="00AB6D3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Анализа студија случаја из области управљања пословним процесима, </w:t>
            </w:r>
            <w:r w:rsidR="004E131D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решавање задатака заснованих на хипотетичким примерима, дискусије студената, посета предузећима ради упознавања са начином функциониса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ња савремених</w:t>
            </w:r>
            <w:r w:rsidR="004E131D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апликација и могућностима примене</w:t>
            </w:r>
            <w:r w:rsidR="004E131D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појединих алата, индивидуалне и групне презентације одређених т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ема</w:t>
            </w:r>
            <w:r w:rsidR="004E131D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, решавање задатака применом одговарајућих 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апликација </w:t>
            </w:r>
            <w:r w:rsidR="00AB6D39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(SAP</w:t>
            </w:r>
            <w:r w:rsidR="00AB6D39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, Balance</w:t>
            </w:r>
            <w:r w:rsidR="00AB6D39"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)</w:t>
            </w:r>
            <w:r w:rsidR="004E131D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 xml:space="preserve"> у Лабораторији за операциони менаџмент</w:t>
            </w:r>
            <w:r w:rsidRPr="003F5836">
              <w:rPr>
                <w:rFonts w:ascii="Times New Roman" w:eastAsia="Times New Roman" w:hAnsi="Times New Roman"/>
                <w:sz w:val="20"/>
                <w:szCs w:val="20"/>
                <w:lang w:val="sr-Cyrl-CS" w:eastAsia="sr-Cyrl-CS"/>
              </w:rPr>
              <w:t>.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3F5836" w:rsidRPr="005A366C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66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5A366C" w:rsidRPr="00AB6D39" w:rsidRDefault="005A366C" w:rsidP="00CA278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392" w:hanging="283"/>
              <w:jc w:val="both"/>
              <w:rPr>
                <w:color w:val="222222"/>
                <w:shd w:val="clear" w:color="auto" w:fill="FFFFFF"/>
              </w:rPr>
            </w:pPr>
            <w:r w:rsidRPr="00AB6D39">
              <w:rPr>
                <w:color w:val="222222"/>
                <w:shd w:val="clear" w:color="auto" w:fill="FFFFFF"/>
              </w:rPr>
              <w:t>Chang, J. F. (2016). </w:t>
            </w:r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Business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process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management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systems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strategy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and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implementation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Auerbach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Publications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 (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Chapter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 1).</w:t>
            </w:r>
          </w:p>
          <w:p w:rsidR="005A366C" w:rsidRPr="00AB6D39" w:rsidRDefault="005A366C" w:rsidP="00CA278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392" w:hanging="283"/>
              <w:jc w:val="both"/>
              <w:rPr>
                <w:color w:val="222222"/>
                <w:shd w:val="clear" w:color="auto" w:fill="FFFFFF"/>
              </w:rPr>
            </w:pPr>
            <w:proofErr w:type="spellStart"/>
            <w:r w:rsidRPr="00AB6D39">
              <w:rPr>
                <w:color w:val="222222"/>
                <w:shd w:val="clear" w:color="auto" w:fill="FFFFFF"/>
              </w:rPr>
              <w:t>Jeston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>, J. (2014). </w:t>
            </w:r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Business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process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management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practical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guidelines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to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successful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implementations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Routledge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>. (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Chapters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 1-4).</w:t>
            </w:r>
          </w:p>
          <w:p w:rsidR="002A3E5D" w:rsidRPr="00AB6D39" w:rsidRDefault="003F5836" w:rsidP="00CA278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392" w:hanging="283"/>
              <w:jc w:val="both"/>
              <w:rPr>
                <w:color w:val="222222"/>
                <w:shd w:val="clear" w:color="auto" w:fill="FFFFFF"/>
              </w:rPr>
            </w:pPr>
            <w:r w:rsidRPr="00AB6D39">
              <w:rPr>
                <w:color w:val="222222"/>
                <w:shd w:val="clear" w:color="auto" w:fill="FFFFFF"/>
              </w:rPr>
              <w:t xml:space="preserve">Dumas, M., La Rosa, M.,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Mendling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, J., &amp;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Reijers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>, H. A. (2013). </w:t>
            </w:r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Fundamentals of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business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process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management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. </w:t>
            </w:r>
            <w:r w:rsidR="00C15A3F" w:rsidRPr="00AB6D39">
              <w:rPr>
                <w:color w:val="222222"/>
                <w:shd w:val="clear" w:color="auto" w:fill="FFFFFF"/>
              </w:rPr>
              <w:t>Heidelberg:</w:t>
            </w:r>
            <w:r w:rsidR="00B40C0F" w:rsidRPr="00AB6D39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Springer</w:t>
            </w:r>
            <w:proofErr w:type="spellEnd"/>
            <w:r w:rsidR="00682B5D" w:rsidRPr="00AB6D39">
              <w:rPr>
                <w:color w:val="222222"/>
                <w:shd w:val="clear" w:color="auto" w:fill="FFFFFF"/>
              </w:rPr>
              <w:t>.</w:t>
            </w:r>
          </w:p>
          <w:p w:rsidR="00AB6D39" w:rsidRPr="00682B5D" w:rsidRDefault="00AB6D39" w:rsidP="00CA278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392" w:hanging="283"/>
              <w:jc w:val="both"/>
              <w:rPr>
                <w:color w:val="222222"/>
                <w:shd w:val="clear" w:color="auto" w:fill="FFFFFF"/>
              </w:rPr>
            </w:pPr>
            <w:proofErr w:type="spellStart"/>
            <w:r w:rsidRPr="00AB6D39">
              <w:rPr>
                <w:color w:val="222222"/>
                <w:shd w:val="clear" w:color="auto" w:fill="FFFFFF"/>
              </w:rPr>
              <w:t>Sproull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>, B. (2019). 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Theory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of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Constraints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, Lean, and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Six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Sigma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Improvement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Methodology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Making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the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Case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for</w:t>
            </w:r>
            <w:proofErr w:type="spellEnd"/>
            <w:r w:rsidRPr="00AB6D3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i/>
                <w:iCs/>
                <w:color w:val="222222"/>
                <w:shd w:val="clear" w:color="auto" w:fill="FFFFFF"/>
              </w:rPr>
              <w:t>Integration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Productivity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AB6D39">
              <w:rPr>
                <w:color w:val="222222"/>
                <w:shd w:val="clear" w:color="auto" w:fill="FFFFFF"/>
              </w:rPr>
              <w:t>Press</w:t>
            </w:r>
            <w:proofErr w:type="spellEnd"/>
            <w:r w:rsidRPr="00AB6D39">
              <w:rPr>
                <w:color w:val="222222"/>
                <w:shd w:val="clear" w:color="auto" w:fill="FFFFFF"/>
              </w:rPr>
              <w:t>.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3F58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00" w:type="dxa"/>
            <w:gridSpan w:val="2"/>
            <w:vAlign w:val="center"/>
          </w:tcPr>
          <w:p w:rsidR="002A3E5D" w:rsidRPr="003F5836" w:rsidRDefault="002A3E5D" w:rsidP="000B2BD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641A0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641A0C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57" w:type="dxa"/>
            <w:gridSpan w:val="2"/>
            <w:vAlign w:val="center"/>
          </w:tcPr>
          <w:p w:rsidR="002A3E5D" w:rsidRPr="00866F9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F58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bookmarkStart w:id="0" w:name="_GoBack"/>
            <w:bookmarkEnd w:id="0"/>
            <w:r w:rsidR="00641A0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66F9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A91CF6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E131D" w:rsidRPr="004E131D" w:rsidRDefault="006D124B" w:rsidP="00641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D124B">
              <w:rPr>
                <w:rFonts w:ascii="Times New Roman" w:hAnsi="Times New Roman"/>
                <w:sz w:val="20"/>
                <w:szCs w:val="20"/>
                <w:lang w:val="sr-Cyrl-CS"/>
              </w:rPr>
              <w:t>Излагање наставника, дискусија, презентације студената, студије случаја.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9468" w:type="dxa"/>
            <w:gridSpan w:val="5"/>
            <w:vAlign w:val="center"/>
          </w:tcPr>
          <w:p w:rsidR="002A3E5D" w:rsidRPr="003F5836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4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41" w:type="dxa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D124B" w:rsidRPr="00641A0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41" w:type="dxa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D124B" w:rsidRPr="00641A0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A3E5D" w:rsidRPr="00641A0C" w:rsidRDefault="006D124B" w:rsidP="00C03E22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641A0C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41" w:type="dxa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41A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2A3E5D" w:rsidRPr="003F5836" w:rsidTr="0001328E">
        <w:trPr>
          <w:trHeight w:val="227"/>
          <w:jc w:val="center"/>
        </w:trPr>
        <w:tc>
          <w:tcPr>
            <w:tcW w:w="3111" w:type="dxa"/>
            <w:vAlign w:val="center"/>
          </w:tcPr>
          <w:p w:rsidR="002A3E5D" w:rsidRPr="003F5836" w:rsidRDefault="002A3E5D" w:rsidP="00C03E2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836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41" w:type="dxa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41A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A3E5D" w:rsidRPr="00641A0C" w:rsidRDefault="00641A0C" w:rsidP="00C03E22">
            <w:pPr>
              <w:tabs>
                <w:tab w:val="left" w:pos="567"/>
              </w:tabs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2A3E5D" w:rsidRPr="00C03E22" w:rsidRDefault="002A3E5D" w:rsidP="00C03E22">
      <w:pPr>
        <w:rPr>
          <w:rFonts w:ascii="Times New Roman" w:hAnsi="Times New Roman"/>
          <w:bCs/>
          <w:sz w:val="20"/>
          <w:szCs w:val="20"/>
        </w:rPr>
      </w:pPr>
    </w:p>
    <w:sectPr w:rsidR="002A3E5D" w:rsidRPr="00C03E22" w:rsidSect="00C03E22">
      <w:pgSz w:w="11907" w:h="16839" w:code="9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0B9"/>
    <w:multiLevelType w:val="hybridMultilevel"/>
    <w:tmpl w:val="A080C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6369B"/>
    <w:multiLevelType w:val="hybridMultilevel"/>
    <w:tmpl w:val="02DE4E9C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85590"/>
    <w:multiLevelType w:val="hybridMultilevel"/>
    <w:tmpl w:val="E5989CAE"/>
    <w:lvl w:ilvl="0" w:tplc="4FE8F1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2A3E5D"/>
    <w:rsid w:val="0001328E"/>
    <w:rsid w:val="00087912"/>
    <w:rsid w:val="000B2BD8"/>
    <w:rsid w:val="000D57DC"/>
    <w:rsid w:val="00107D69"/>
    <w:rsid w:val="002A3E5D"/>
    <w:rsid w:val="00303C0C"/>
    <w:rsid w:val="0031164B"/>
    <w:rsid w:val="00312834"/>
    <w:rsid w:val="00363E26"/>
    <w:rsid w:val="003F5836"/>
    <w:rsid w:val="004E131D"/>
    <w:rsid w:val="005A366C"/>
    <w:rsid w:val="005D307D"/>
    <w:rsid w:val="00641A0C"/>
    <w:rsid w:val="00675CCF"/>
    <w:rsid w:val="00682B5D"/>
    <w:rsid w:val="006D124B"/>
    <w:rsid w:val="007D71B0"/>
    <w:rsid w:val="00866F9D"/>
    <w:rsid w:val="00894A73"/>
    <w:rsid w:val="009B7ADA"/>
    <w:rsid w:val="009E7C22"/>
    <w:rsid w:val="00A20286"/>
    <w:rsid w:val="00A62EE6"/>
    <w:rsid w:val="00A91CF6"/>
    <w:rsid w:val="00AB6D39"/>
    <w:rsid w:val="00B40C0F"/>
    <w:rsid w:val="00C03E22"/>
    <w:rsid w:val="00C15A3F"/>
    <w:rsid w:val="00C47646"/>
    <w:rsid w:val="00C76B6C"/>
    <w:rsid w:val="00CA2780"/>
    <w:rsid w:val="00D22F85"/>
    <w:rsid w:val="00D257D0"/>
    <w:rsid w:val="00D930E6"/>
    <w:rsid w:val="00DC0B8F"/>
    <w:rsid w:val="00DF6402"/>
    <w:rsid w:val="00FA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836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836"/>
    <w:rPr>
      <w:rFonts w:ascii="Arial" w:eastAsia="Times New Roman" w:hAnsi="Arial" w:cs="Times New Roman"/>
      <w:b/>
      <w:kern w:val="28"/>
      <w:sz w:val="28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3F583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A66FC-F97B-4D55-8A40-5CE9E766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7</cp:revision>
  <dcterms:created xsi:type="dcterms:W3CDTF">2022-06-29T16:59:00Z</dcterms:created>
  <dcterms:modified xsi:type="dcterms:W3CDTF">2022-07-06T08:56:00Z</dcterms:modified>
</cp:coreProperties>
</file>